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EE" w:rsidRPr="008F01D5" w:rsidRDefault="00AA05EE">
      <w:pPr>
        <w:ind w:left="691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AA05EE" w:rsidRDefault="00AA05EE">
      <w:pPr>
        <w:spacing w:before="60"/>
        <w:ind w:left="6917"/>
        <w:rPr>
          <w:sz w:val="16"/>
          <w:szCs w:val="16"/>
        </w:rPr>
      </w:pPr>
      <w:r w:rsidRPr="008F01D5">
        <w:rPr>
          <w:sz w:val="16"/>
          <w:szCs w:val="16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>
        <w:rPr>
          <w:sz w:val="16"/>
          <w:szCs w:val="16"/>
        </w:rPr>
        <w:br/>
        <w:t>от 06.04.2015 № 57н)</w:t>
      </w:r>
    </w:p>
    <w:p w:rsidR="00AA05EE" w:rsidRDefault="00AA05EE">
      <w:pPr>
        <w:spacing w:before="360" w:after="480"/>
        <w:jc w:val="center"/>
        <w:rPr>
          <w:sz w:val="22"/>
          <w:szCs w:val="22"/>
        </w:rPr>
      </w:pPr>
      <w:r>
        <w:rPr>
          <w:sz w:val="22"/>
          <w:szCs w:val="22"/>
        </w:rPr>
        <w:t>Формы</w:t>
      </w:r>
      <w:r>
        <w:rPr>
          <w:sz w:val="22"/>
          <w:szCs w:val="22"/>
        </w:rPr>
        <w:br/>
        <w:t>бухгалтерского баланса и отчета о финансовых результатах</w:t>
      </w:r>
    </w:p>
    <w:p w:rsidR="00AA05EE" w:rsidRDefault="00AA05EE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Pr="008F01D5" w:rsidRDefault="00AA05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AA05EE" w:rsidRDefault="00AA05EE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AA05EE" w:rsidRDefault="00AA05EE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AA05EE" w:rsidRDefault="00AA05EE">
      <w:pPr>
        <w:rPr>
          <w:rFonts w:ascii="Arial" w:hAnsi="Arial" w:cs="Arial"/>
          <w:sz w:val="18"/>
          <w:szCs w:val="18"/>
        </w:rPr>
      </w:pPr>
    </w:p>
    <w:p w:rsidR="00AA05EE" w:rsidRDefault="00AA05EE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A05EE" w:rsidRDefault="00AA05E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AA05EE" w:rsidRDefault="00AA05E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AA05EE" w:rsidRDefault="00AA05E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внеоборотные</w:t>
            </w:r>
            <w:proofErr w:type="spellEnd"/>
            <w:r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5EE" w:rsidRDefault="00AA05EE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05EE" w:rsidRDefault="00AA0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A05EE" w:rsidRDefault="00AA05E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A05EE" w:rsidRDefault="00AA05E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A05EE" w:rsidRDefault="00AA05E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5EE" w:rsidRDefault="00AA05EE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AA05E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5E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5EE" w:rsidRDefault="00AA0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05EE" w:rsidRDefault="00AA05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5EE" w:rsidRDefault="00AA0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AA05EE" w:rsidRDefault="00AA05E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A05E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5EE" w:rsidRDefault="00AA0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5EE" w:rsidRDefault="00AA05E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A05EE" w:rsidRDefault="00AA05EE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AA05EE" w:rsidRDefault="00AA05EE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AA05EE" w:rsidRDefault="00AA05EE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>
        <w:rPr>
          <w:rFonts w:ascii="Arial" w:hAnsi="Arial" w:cs="Arial"/>
          <w:sz w:val="14"/>
          <w:szCs w:val="14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AA05EE" w:rsidRDefault="00AA05EE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AA05EE" w:rsidRDefault="00AA05EE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AA05EE" w:rsidRDefault="00AA05EE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AA05EE" w:rsidRDefault="00AA05EE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Некоммерческая организация именует указанный раздел "Целевое финансирование". </w:t>
      </w:r>
      <w:proofErr w:type="gramStart"/>
      <w:r>
        <w:rPr>
          <w:rFonts w:ascii="Arial" w:hAnsi="Arial" w:cs="Arial"/>
          <w:sz w:val="14"/>
          <w:szCs w:val="14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AA05EE" w:rsidRDefault="00AA05EE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sectPr w:rsidR="00AA05EE">
      <w:headerReference w:type="default" r:id="rId6"/>
      <w:pgSz w:w="11906" w:h="16838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FC" w:rsidRDefault="00E661FC">
      <w:r>
        <w:separator/>
      </w:r>
    </w:p>
  </w:endnote>
  <w:endnote w:type="continuationSeparator" w:id="0">
    <w:p w:rsidR="00E661FC" w:rsidRDefault="00E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FC" w:rsidRDefault="00E661FC">
      <w:r>
        <w:separator/>
      </w:r>
    </w:p>
  </w:footnote>
  <w:footnote w:type="continuationSeparator" w:id="0">
    <w:p w:rsidR="00E661FC" w:rsidRDefault="00E6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EE" w:rsidRDefault="00AA05EE">
    <w:pPr>
      <w:pStyle w:val="a6"/>
      <w:jc w:val="right"/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5EE"/>
    <w:rsid w:val="00141585"/>
    <w:rsid w:val="008F01D5"/>
    <w:rsid w:val="00AA05EE"/>
    <w:rsid w:val="00AA6C11"/>
    <w:rsid w:val="00E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link w:val="a3"/>
    <w:uiPriority w:val="99"/>
    <w:semiHidden/>
    <w:rPr>
      <w:sz w:val="20"/>
      <w:szCs w:val="20"/>
    </w:rPr>
  </w:style>
  <w:style w:type="character" w:styleId="a5">
    <w:name w:val="endnote reference"/>
    <w:uiPriority w:val="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Леночка</cp:lastModifiedBy>
  <cp:revision>2</cp:revision>
  <cp:lastPrinted>2011-05-05T12:27:00Z</cp:lastPrinted>
  <dcterms:created xsi:type="dcterms:W3CDTF">2017-12-13T18:43:00Z</dcterms:created>
  <dcterms:modified xsi:type="dcterms:W3CDTF">2017-12-13T18:43:00Z</dcterms:modified>
</cp:coreProperties>
</file>